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g8epid8dl3be" w:id="0"/>
      <w:bookmarkEnd w:id="0"/>
      <w:r w:rsidDel="00000000" w:rsidR="00000000" w:rsidRPr="00000000">
        <w:rPr>
          <w:rtl w:val="0"/>
        </w:rPr>
        <w:t xml:space="preserve">Схема мыследеятельности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5b5njvhibt1y" w:id="1"/>
      <w:bookmarkEnd w:id="1"/>
      <w:r w:rsidDel="00000000" w:rsidR="00000000" w:rsidRPr="00000000">
        <w:rPr>
          <w:rtl w:val="0"/>
        </w:rPr>
        <w:t xml:space="preserve">Разбор “на пальцах” для внутреннего использования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>
          <w:rFonts w:ascii="Courier New" w:cs="Courier New" w:eastAsia="Courier New" w:hAnsi="Courier New"/>
        </w:rPr>
      </w:pPr>
      <w:bookmarkStart w:colFirst="0" w:colLast="0" w:name="_xlykhrrh06vf" w:id="2"/>
      <w:bookmarkEnd w:id="2"/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Введение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В документе делается попытка описать схему мыследеятельности Георгия Петровича Щедровицкого как можно более доступно для понимания.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Эта схема является базовой для всего системно-мыследеятельностного подхода, поэтому ее понимание очень важно для любой работы, использующей СМД.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Схема достаточно сложная и изобилует деталями, при этом Г.П. Щедровицкий считал, что ее нельзя упростить без потери смысла. Поэтому ее нужно объяснять по частям.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3655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both"/>
        <w:rPr/>
      </w:pPr>
      <w:bookmarkStart w:colFirst="0" w:colLast="0" w:name="_epm2bru88r5" w:id="3"/>
      <w:bookmarkEnd w:id="3"/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8"/>
          <w:szCs w:val="28"/>
          <w:rtl w:val="0"/>
        </w:rPr>
        <w:t xml:space="preserve">Источники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Схема описана в статье Г.П. Щедровицкого “Схема мыследеятельности – системно-структурное строение, смысл и содержание”, опубликованной в 1986 году.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При разборе использовалась презентация Николая Федоровича Андрейченко “Анимированная визуализация схем из статьи Г.П. Щедровицкого “Схема мыследеятельности – системно-структурное строение, смысл и содержание”, 1986 г.”, подготовленная в рамках семинара “Онтология образования” 20.04.2024.</w:t>
      </w:r>
    </w:p>
    <w:p w:rsidR="00000000" w:rsidDel="00000000" w:rsidP="00000000" w:rsidRDefault="00000000" w:rsidRPr="00000000" w14:paraId="0000000C">
      <w:pPr>
        <w:pStyle w:val="Heading1"/>
        <w:widowControl w:val="1"/>
        <w:rPr>
          <w:rFonts w:ascii="Courier New" w:cs="Courier New" w:eastAsia="Courier New" w:hAnsi="Courier New"/>
          <w:b w:val="1"/>
          <w:bCs w:val="1"/>
        </w:rPr>
      </w:pPr>
      <w:bookmarkStart w:colFirst="0" w:colLast="0" w:name="_qg2ae4kw9chx" w:id="4"/>
      <w:bookmarkEnd w:id="4"/>
      <w:r w:rsidDel="00000000" w:rsidR="00000000" w:rsidRPr="00000000">
        <w:rPr>
          <w:rtl w:val="0"/>
        </w:rPr>
        <w:t xml:space="preserve">Монологический акт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Схема построена вокруг процесса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понимания</w:t>
      </w:r>
      <w:r w:rsidDel="00000000" w:rsidR="00000000" w:rsidRPr="00000000">
        <w:rPr>
          <w:rtl w:val="0"/>
        </w:rPr>
        <w:t xml:space="preserve">, который возникает при вербальной (словесной) передаче некоторого опыта от одного участника другому.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090738" cy="1029035"/>
            <wp:effectExtent b="0" l="0" r="0" t="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1029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Передача односторонняя, то есть это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монолог</w:t>
      </w:r>
      <w:r w:rsidDel="00000000" w:rsidR="00000000" w:rsidRPr="00000000">
        <w:rPr>
          <w:rtl w:val="0"/>
        </w:rPr>
        <w:t xml:space="preserve">. Монолог взят как самый простой элемент, из которого можно строить более сложные.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Например,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диалог </w:t>
      </w:r>
      <w:r w:rsidDel="00000000" w:rsidR="00000000" w:rsidRPr="00000000">
        <w:rPr>
          <w:rtl w:val="0"/>
        </w:rPr>
        <w:t xml:space="preserve">можно представить как последовательность монологов между двумя участниками.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Полилог </w:t>
      </w:r>
      <w:r w:rsidDel="00000000" w:rsidR="00000000" w:rsidRPr="00000000">
        <w:rPr>
          <w:rtl w:val="0"/>
        </w:rPr>
        <w:t xml:space="preserve">(когда участников больше двух)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тоже можно разбить на отдельные монологи.</w:t>
      </w:r>
    </w:p>
    <w:p w:rsidR="00000000" w:rsidDel="00000000" w:rsidP="00000000" w:rsidRDefault="00000000" w:rsidRPr="00000000" w14:paraId="00000011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both"/>
        <w:rPr>
          <w:rFonts w:ascii="Courier New" w:cs="Courier New" w:eastAsia="Courier New" w:hAnsi="Courier New"/>
          <w:b w:val="1"/>
          <w:bCs w:val="1"/>
          <w:sz w:val="28"/>
          <w:szCs w:val="28"/>
        </w:rPr>
      </w:pPr>
      <w:bookmarkStart w:colFirst="0" w:colLast="0" w:name="_cedipf8o8l3u" w:id="5"/>
      <w:bookmarkEnd w:id="5"/>
      <w:r w:rsidDel="00000000" w:rsidR="00000000" w:rsidRPr="00000000">
        <w:rPr>
          <w:rtl w:val="0"/>
        </w:rPr>
        <w:t xml:space="preserve">Три пояса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8"/>
          <w:szCs w:val="28"/>
          <w:rtl w:val="0"/>
        </w:rPr>
        <w:t xml:space="preserve">мыследеятельности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Георгий Петрович считал, что в реальном мире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деятельность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tl w:val="0"/>
        </w:rPr>
        <w:t xml:space="preserve">и каждое отдельное действие) могут существовать только вместе с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мышлением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коммуникацией</w:t>
      </w:r>
      <w:r w:rsidDel="00000000" w:rsidR="00000000" w:rsidRPr="00000000">
        <w:rPr>
          <w:rtl w:val="0"/>
        </w:rPr>
        <w:t xml:space="preserve">. Всё вместе называется “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мыследеятельностью</w:t>
      </w:r>
      <w:r w:rsidDel="00000000" w:rsidR="00000000" w:rsidRPr="00000000">
        <w:rPr>
          <w:rtl w:val="0"/>
        </w:rPr>
        <w:t xml:space="preserve">”.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ГП призывал использовать понятие “мыследеятельность” вместо “деятельности”, как более соответствующее реальности.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Эти три составляющие мыследеятельности отображаются на схеме в виде трех горизонтальных поясов, которые расположены друг над другом в строго определенном порядке.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4090988" cy="2474699"/>
            <wp:effectExtent b="0" l="0" r="0" t="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2474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Мыследеятельность состоит, таким образом, из трех составляющих – “автономных поясов мыследеятельности”.</w:t>
      </w:r>
    </w:p>
    <w:p w:rsidR="00000000" w:rsidDel="00000000" w:rsidP="00000000" w:rsidRDefault="00000000" w:rsidRPr="00000000" w14:paraId="00000017">
      <w:pPr>
        <w:pStyle w:val="Heading2"/>
        <w:rPr/>
      </w:pPr>
      <w:bookmarkStart w:colFirst="0" w:colLast="0" w:name="_s7pdlnkxvek4" w:id="6"/>
      <w:bookmarkEnd w:id="6"/>
      <w:r w:rsidDel="00000000" w:rsidR="00000000" w:rsidRPr="00000000">
        <w:rPr>
          <w:rtl w:val="0"/>
        </w:rPr>
        <w:t xml:space="preserve">Коллективно-групповое мыследействование (мД)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Пояс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коллективно-группового мыследействования</w:t>
      </w:r>
      <w:r w:rsidDel="00000000" w:rsidR="00000000" w:rsidRPr="00000000">
        <w:rPr>
          <w:rtl w:val="0"/>
        </w:rPr>
        <w:t xml:space="preserve"> обозначается как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мД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Хотя отдельное действие может принадлежать отдельному индивидууму, но в общественной жизни деятельность носит коллективно-групповой характер.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То есть, в этом поясе лежит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деятельность</w:t>
      </w:r>
      <w:r w:rsidDel="00000000" w:rsidR="00000000" w:rsidRPr="00000000">
        <w:rPr>
          <w:rtl w:val="0"/>
        </w:rPr>
        <w:t xml:space="preserve">, и в качестве аксиом полагается, что: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действие не может существовать без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мышления</w:t>
      </w:r>
      <w:r w:rsidDel="00000000" w:rsidR="00000000" w:rsidRPr="00000000">
        <w:rPr>
          <w:rtl w:val="0"/>
        </w:rPr>
        <w:t xml:space="preserve"> (поэтому оно называется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мыследействием</w:t>
      </w:r>
      <w:r w:rsidDel="00000000" w:rsidR="00000000" w:rsidRPr="00000000">
        <w:rPr>
          <w:rtl w:val="0"/>
        </w:rPr>
        <w:t xml:space="preserve">,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действие в рассматриваемой методологии всегда рассматривается как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коллективно-групповое</w:t>
      </w:r>
      <w:r w:rsidDel="00000000" w:rsidR="00000000" w:rsidRPr="00000000">
        <w:rPr>
          <w:rtl w:val="0"/>
        </w:rPr>
        <w:t xml:space="preserve">, в противном случае оно лежит за рамками методологии.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На схеме мыследействование изображается в виде контура, в котором несколько участников связаны друг с другом линиями.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1952625" cy="158115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8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На практике (в отличие от теоретических статей) понятие “мыследействование” используется не так часто, говорят просто “деятельность”.</w:t>
      </w:r>
    </w:p>
    <w:p w:rsidR="00000000" w:rsidDel="00000000" w:rsidP="00000000" w:rsidRDefault="00000000" w:rsidRPr="00000000" w14:paraId="00000020">
      <w:pPr>
        <w:pStyle w:val="Heading2"/>
        <w:rPr/>
      </w:pPr>
      <w:bookmarkStart w:colFirst="0" w:colLast="0" w:name="_jx27nn160im1" w:id="7"/>
      <w:bookmarkEnd w:id="7"/>
      <w:r w:rsidDel="00000000" w:rsidR="00000000" w:rsidRPr="00000000">
        <w:rPr>
          <w:rtl w:val="0"/>
        </w:rPr>
        <w:t xml:space="preserve">Мысль-коммуникация (М-К)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Пояс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мысли-коммуникации</w:t>
      </w:r>
      <w:r w:rsidDel="00000000" w:rsidR="00000000" w:rsidRPr="00000000">
        <w:rPr>
          <w:rtl w:val="0"/>
        </w:rPr>
        <w:t xml:space="preserve"> обозначается как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М-К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Под мыслью-коммуникацией понимается обмен словесными текстами, в устной или письменной форме.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То есть, это передача мысли через коммуникацию между участниками мыследеятельности, осуществляемая в вербальной форме, через текст.</w:t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296841" cy="636631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6841" cy="6366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Это центральная часть схемы, которая отражает собственно вербальный монолог.</w:t>
      </w:r>
    </w:p>
    <w:p w:rsidR="00000000" w:rsidDel="00000000" w:rsidP="00000000" w:rsidRDefault="00000000" w:rsidRPr="00000000" w14:paraId="00000026">
      <w:pPr>
        <w:pStyle w:val="Heading2"/>
        <w:rPr/>
      </w:pPr>
      <w:bookmarkStart w:colFirst="0" w:colLast="0" w:name="_83ms8ginxx69" w:id="8"/>
      <w:bookmarkEnd w:id="8"/>
      <w:r w:rsidDel="00000000" w:rsidR="00000000" w:rsidRPr="00000000">
        <w:rPr>
          <w:rtl w:val="0"/>
        </w:rPr>
        <w:t xml:space="preserve">Чистое мышление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Пояс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мышления</w:t>
      </w:r>
      <w:r w:rsidDel="00000000" w:rsidR="00000000" w:rsidRPr="00000000">
        <w:rPr>
          <w:rtl w:val="0"/>
        </w:rPr>
        <w:t xml:space="preserve"> обозначается как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По Г.П. Щедровицкому, “то, что по традиции было принято называть «мышлением», разделяется на две принципиально разные составляющие — «мысль-коммуникацию» и «чистое мышление»”.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Чистое мышление развертывается в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невербальных формах</w:t>
      </w:r>
      <w:r w:rsidDel="00000000" w:rsidR="00000000" w:rsidRPr="00000000">
        <w:rPr>
          <w:rtl w:val="0"/>
        </w:rPr>
        <w:t xml:space="preserve">: схемах, формулах, графиках, таблицах, картах, диаграммах и так далее.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Для того чтобы развернуть чистое мышление (которое в СМД часто называется просто “мышлением”), необходим “экран”, или “доска” – внешний носитель, на котором отображаются схемы или другие невербальные формы мышления.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Поэтому пояс мышления отображают в виде “ноутбука” (прямоугольник с параллелограммом внизу) или “доски” (простого прямоугольника”).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684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Иногда на экране дополнительно рисуют геометрические фигуры или формулы.</w:t>
      </w:r>
    </w:p>
    <w:p w:rsidR="00000000" w:rsidDel="00000000" w:rsidP="00000000" w:rsidRDefault="00000000" w:rsidRPr="00000000" w14:paraId="0000002E">
      <w:pPr>
        <w:pStyle w:val="Heading1"/>
        <w:rPr/>
      </w:pPr>
      <w:bookmarkStart w:colFirst="0" w:colLast="0" w:name="_66ktrga2csz9" w:id="9"/>
      <w:bookmarkEnd w:id="9"/>
      <w:r w:rsidDel="00000000" w:rsidR="00000000" w:rsidRPr="00000000">
        <w:rPr>
          <w:rtl w:val="0"/>
        </w:rPr>
        <w:t xml:space="preserve">Объединение схем: монолог и мыследеятельность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Объединим схему монологического акта и схему трех поясов мыследеятельности.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Левый участник монолога, которого можно назвать “говорящим”, “мыслящим” или “объясняющим”, передает свой опыт правому участнику, которого называют “понимающим”.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Для каждого из участников нарисуем три пояса мыследеятельности.</w:t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72416" cy="2928938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2416" cy="2928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rPr/>
      </w:pPr>
      <w:bookmarkStart w:colFirst="0" w:colLast="0" w:name="_o5ry1vfj05yj" w:id="10"/>
      <w:bookmarkEnd w:id="10"/>
      <w:r w:rsidDel="00000000" w:rsidR="00000000" w:rsidRPr="00000000">
        <w:rPr>
          <w:rtl w:val="0"/>
        </w:rPr>
        <w:t xml:space="preserve">Мысль-коммуникация двух участников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Средний пояс (мысль-коммуникация) у участников общий. То есть, оба они находятся в одной и той же мысли-коммуникации, только один передает, а другой принимает. Поэтому средние слои на этой схеме объединяются.</w:t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81463" cy="3017028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3017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Но при этом важно подчеркнуть, что их понимание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неодинаково</w:t>
      </w:r>
      <w:r w:rsidDel="00000000" w:rsidR="00000000" w:rsidRPr="00000000">
        <w:rPr>
          <w:rtl w:val="0"/>
        </w:rPr>
        <w:t xml:space="preserve">. Каждый находится как бы в своей собственной мысли-коммуникации. Передача опыта через “внешний мир” не идеальна и не полна.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На схеме пояс мысли-коммуникации рисуется общий, поскольку оба участника находятся в общем процессе мысли-коммуникации (один передает другому).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При этом для каждого из них рисуется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собственная стрелка</w:t>
      </w:r>
      <w:r w:rsidDel="00000000" w:rsidR="00000000" w:rsidRPr="00000000">
        <w:rPr>
          <w:rtl w:val="0"/>
        </w:rPr>
        <w:t xml:space="preserve">, которая соответствует, с одной стороны,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упаковке</w:t>
      </w:r>
      <w:r w:rsidDel="00000000" w:rsidR="00000000" w:rsidRPr="00000000">
        <w:rPr>
          <w:rtl w:val="0"/>
        </w:rPr>
        <w:t xml:space="preserve"> мысли в текст, а с другой стороны –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распаковке </w:t>
      </w:r>
      <w:r w:rsidDel="00000000" w:rsidR="00000000" w:rsidRPr="00000000">
        <w:rPr>
          <w:rtl w:val="0"/>
        </w:rPr>
        <w:t xml:space="preserve">мысли из текста.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Кроме того, на схеме рисуется стрелка другой формы, которая отражает связь между этими двумя процессами. Можно сказать, что эта стрелка обозначает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передачу упакованного текста</w:t>
      </w:r>
      <w:r w:rsidDel="00000000" w:rsidR="00000000" w:rsidRPr="00000000">
        <w:rPr>
          <w:rtl w:val="0"/>
        </w:rPr>
        <w:t xml:space="preserve"> от одного участника к другому через физический мир.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3176588" cy="1392071"/>
            <wp:effectExtent b="0" l="0" r="0" t="0"/>
            <wp:docPr id="2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1392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Пояс мысли-коммуникации является центральным в мыследеятельности, он объединяет левую и правую части схемы и одновременно связывает чистое мышление с деятельностью.</w:t>
      </w:r>
    </w:p>
    <w:p w:rsidR="00000000" w:rsidDel="00000000" w:rsidP="00000000" w:rsidRDefault="00000000" w:rsidRPr="00000000" w14:paraId="0000003C">
      <w:pPr>
        <w:pStyle w:val="Heading2"/>
        <w:rPr/>
      </w:pPr>
      <w:bookmarkStart w:colFirst="0" w:colLast="0" w:name="_nzlmfbsd4thk" w:id="11"/>
      <w:bookmarkEnd w:id="11"/>
      <w:r w:rsidDel="00000000" w:rsidR="00000000" w:rsidRPr="00000000">
        <w:rPr>
          <w:rtl w:val="0"/>
        </w:rPr>
        <w:t xml:space="preserve">Мыследействие двух участников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Нижний пояс (коллективно-групповое мыследействие, или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мД</w:t>
      </w:r>
      <w:r w:rsidDel="00000000" w:rsidR="00000000" w:rsidRPr="00000000">
        <w:rPr>
          <w:rtl w:val="0"/>
        </w:rPr>
        <w:t xml:space="preserve">) у каждого из них может быть свой, то есть деятельность у них разная.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Объясняющий руководствуется своим опытом деятельности, который пытается облечь в форму слов.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Понимающий должен применить то, что он понял, в своей собственной деятельности.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Даже если они участвуют в некоторой совместной деятельности, каждый из них “видит” её по-своему.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Поэтому Г.П. Щедровицкий на общей схеме рисует как бы две разных деятельности: они отличаются количеством участников и наличием связей между ними.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3471863" cy="1725346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1725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rPr/>
      </w:pPr>
      <w:bookmarkStart w:colFirst="0" w:colLast="0" w:name="_nq2jn289dwf1" w:id="12"/>
      <w:bookmarkEnd w:id="12"/>
      <w:r w:rsidDel="00000000" w:rsidR="00000000" w:rsidRPr="00000000">
        <w:rPr>
          <w:rtl w:val="0"/>
        </w:rPr>
        <w:t xml:space="preserve">Мышление двух участников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Содержание мышления у каждого из участников тоже может быть индивидуальным.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Более того, оно может принимать разные формы, например, один из участников работает со схемами, а другой с формулами.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3462338" cy="1748423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748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При этом принципиально важно, что мышление может быть коллективно-групповым, и, более того, коллективно-групповое мышление – ключевая практика СМД.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Работа с общим экраном позволяет развернуть мышление для целой группы, и тогда каждый отдельный участник размещает на общей схеме часть своей индивидуальной схемы.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2114550" cy="370522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05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Однако если говорить о самой простой (базовой) схеме мыследеятельности, то на ней содержание мышление в общем случае может не обобществляться, так что для каждого участника рисуется свой собственный экран.</w:t>
      </w:r>
    </w:p>
    <w:p w:rsidR="00000000" w:rsidDel="00000000" w:rsidP="00000000" w:rsidRDefault="00000000" w:rsidRPr="00000000" w14:paraId="0000004C">
      <w:pPr>
        <w:pStyle w:val="Heading2"/>
        <w:rPr/>
      </w:pPr>
      <w:bookmarkStart w:colFirst="0" w:colLast="0" w:name="_biwrnr5vdab0" w:id="13"/>
      <w:bookmarkEnd w:id="13"/>
      <w:r w:rsidDel="00000000" w:rsidR="00000000" w:rsidRPr="00000000">
        <w:rPr>
          <w:rtl w:val="0"/>
        </w:rPr>
        <w:t xml:space="preserve">Объединяем пояса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Если снова объединить эти схемы с учетом вышесказанного, получаем такую схему: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2614613" cy="3105395"/>
            <wp:effectExtent b="0" l="0" r="0" t="0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3105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Итак, левая часть схемы соответствует “говорящему”, а правая – “понимающему”. У них происходит общая мысль-коммуникация (средний пояс), каждый из них участвует в собственных мыследействиях (снизу), и каждый работает с индивидуальным содержанием мышления (сверху).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Получается шесть секторов, которые Георгий Петрович нумерует слева направо, снизу вверх: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114300" distT="114300" distL="114300" distR="114300">
            <wp:extent cx="2962599" cy="3540915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599" cy="3540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Эта нумерация дальше используется для того, чтобы детальнее рассмотреть весь спектр процессов, которые могут происходить на схеме.</w:t>
      </w:r>
    </w:p>
    <w:p w:rsidR="00000000" w:rsidDel="00000000" w:rsidP="00000000" w:rsidRDefault="00000000" w:rsidRPr="00000000" w14:paraId="00000053">
      <w:pPr>
        <w:pStyle w:val="Heading1"/>
        <w:rPr/>
      </w:pPr>
      <w:bookmarkStart w:colFirst="0" w:colLast="0" w:name="_50s1fyd1ogpp" w:id="14"/>
      <w:bookmarkEnd w:id="14"/>
      <w:r w:rsidDel="00000000" w:rsidR="00000000" w:rsidRPr="00000000">
        <w:rPr>
          <w:rtl w:val="0"/>
        </w:rPr>
        <w:t xml:space="preserve">Номера позиций на схемах мыследействия (мД)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В поясе мыследействия  все участники деятельности пронумерованы. 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У них двухуровневая </w:t>
      </w:r>
      <w:r w:rsidDel="00000000" w:rsidR="00000000" w:rsidRPr="00000000">
        <w:rPr>
          <w:rtl w:val="0"/>
        </w:rPr>
        <w:t xml:space="preserve">нумерация</w:t>
      </w:r>
      <w:r w:rsidDel="00000000" w:rsidR="00000000" w:rsidRPr="00000000">
        <w:rPr>
          <w:rtl w:val="0"/>
        </w:rPr>
        <w:t xml:space="preserve">. Первый уровень соответствует номеру схемы (левая нижняя – схема 1, правая нижняя – схема 2), второй уровень – номеру участника на этой схеме.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Например, “человечек” под номером 2.3 – это участник 3 на схеме 2.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На левой схеме нумерация позиций идет против часовой стрелки, а на правой – по часовой. Но в обоих случаях можно сказать, что позиции нумеруются от внешней стороны к внутренней.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70200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Количество участников и связи между ними взяты для примера, поэтому существенной смысловой нагрузки эти номера на нижней части схемы не несут.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2436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630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rPr/>
      </w:pPr>
      <w:bookmarkStart w:colFirst="0" w:colLast="0" w:name="_x5zd67fcy2il" w:id="15"/>
      <w:bookmarkEnd w:id="15"/>
      <w:r w:rsidDel="00000000" w:rsidR="00000000" w:rsidRPr="00000000">
        <w:rPr>
          <w:rtl w:val="0"/>
        </w:rPr>
        <w:t xml:space="preserve">Номера позиций на схеме мышления (М)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На верхних схемах “человечки” тоже пронумерованы. Но на каждой из этих схем только один участник процесса. На левой верхней схеме (схема 5) это “объясняющий”, на правой верхней (схема 6) это “понимающий”.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Этим позициям просто присвоены номера, совпадающие с номером схемы.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114300" distT="114300" distL="114300" distR="114300">
            <wp:extent cx="3584446" cy="1824038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4446" cy="1824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1"/>
        <w:rPr/>
      </w:pPr>
      <w:bookmarkStart w:colFirst="0" w:colLast="0" w:name="_pw5w6536lwd" w:id="16"/>
      <w:bookmarkEnd w:id="16"/>
      <w:r w:rsidDel="00000000" w:rsidR="00000000" w:rsidRPr="00000000">
        <w:rPr>
          <w:rtl w:val="0"/>
        </w:rPr>
        <w:t xml:space="preserve">Номера позиций на схеме мысли-коммуникации (М-К)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Мысль-коммуникация устроена сложнее, потому что она связывает между собой мыследействие и мышление.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Возможно несколько вариантов такой взаимосвязи, которые далее мы рассмотрим по порядку.</w:t>
      </w:r>
    </w:p>
    <w:p w:rsidR="00000000" w:rsidDel="00000000" w:rsidP="00000000" w:rsidRDefault="00000000" w:rsidRPr="00000000" w14:paraId="00000063">
      <w:pPr>
        <w:pStyle w:val="Heading2"/>
        <w:rPr/>
      </w:pPr>
      <w:bookmarkStart w:colFirst="0" w:colLast="0" w:name="_p0tnfygczvi5" w:id="17"/>
      <w:bookmarkEnd w:id="17"/>
      <w:r w:rsidDel="00000000" w:rsidR="00000000" w:rsidRPr="00000000">
        <w:rPr>
          <w:rtl w:val="0"/>
        </w:rPr>
        <w:t xml:space="preserve">Выход в мысль-коммуникацию из деятельности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Первый вариант предполагает, что участник, находящийся в деятельности, “поднимается” над ситуацией, чтобы проанализировать ее как бы со стороны и облечь в вербальную форму.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Такой выход из деятельности для ее анализа называется в СМД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рефлексией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В данном случае, один из участников деятельности выходит в мысль-коммуникацию, чтобы отрефлексировать деятельность, упаковать ее в текст и передать понимающему.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На схеме этот вариант обозначен номером 3.1, где 3 – номер средней левой схемы, а 1 – первый из рассматриваемых случаев.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/>
        <w:drawing>
          <wp:inline distB="114300" distT="114300" distL="114300" distR="114300">
            <wp:extent cx="3186113" cy="2958533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958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rPr/>
      </w:pPr>
      <w:bookmarkStart w:colFirst="0" w:colLast="0" w:name="_gj6ci16qz1o" w:id="18"/>
      <w:bookmarkEnd w:id="18"/>
      <w:r w:rsidDel="00000000" w:rsidR="00000000" w:rsidRPr="00000000">
        <w:rPr>
          <w:rtl w:val="0"/>
        </w:rPr>
        <w:t xml:space="preserve">Выход в мысль-коммуникацию из мышления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Вторая ситуация возникает, когда чистое мышление нужно облечь в текст. Например, когда есть схема, и её нужно подробно описать или объяснить.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На схеме мысли-коммуникации этот вариант имеет номер 3.2.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2886705" cy="2667713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705" cy="2667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2"/>
        <w:rPr/>
      </w:pPr>
      <w:bookmarkStart w:colFirst="0" w:colLast="0" w:name="_vc2e6mul30yt" w:id="19"/>
      <w:bookmarkEnd w:id="19"/>
      <w:r w:rsidDel="00000000" w:rsidR="00000000" w:rsidRPr="00000000">
        <w:rPr>
          <w:rtl w:val="0"/>
        </w:rPr>
        <w:br w:type="textWrapping"/>
        <w:t xml:space="preserve">Связь мышления и мыследействия через М-К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Третий вариант – когда текст связывает деятельностную ситуацию и чистое мышление.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/>
        <w:drawing>
          <wp:inline distB="114300" distT="114300" distL="114300" distR="114300">
            <wp:extent cx="3186113" cy="4670217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4670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rPr/>
      </w:pPr>
      <w:bookmarkStart w:colFirst="0" w:colLast="0" w:name="_9q6afwil5r3v" w:id="20"/>
      <w:bookmarkEnd w:id="20"/>
      <w:r w:rsidDel="00000000" w:rsidR="00000000" w:rsidRPr="00000000">
        <w:rPr>
          <w:rtl w:val="0"/>
        </w:rPr>
        <w:t xml:space="preserve">Обычные и рефлексивные позиции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Схемы М и МК включают два типа позиций, закрашенные белым и черным цветами.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Вначале следует рассмотреть позиции, закрашенные белым, 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143125"/>
            <wp:effectExtent b="0" l="0" r="0" t="0"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3626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rial"/>
  <w:font w:name="Trebuchet M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 Light" w:cs="Helvetica Neue Light" w:eastAsia="Helvetica Neue Light" w:hAnsi="Helvetica Neue Light"/>
        <w:sz w:val="24"/>
        <w:szCs w:val="24"/>
        <w:lang w:val="ru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120" w:line="360" w:lineRule="auto"/>
      <w:jc w:val="both"/>
    </w:pPr>
    <w:rPr>
      <w:rFonts w:ascii="Courier New" w:cs="Courier New" w:eastAsia="Courier New" w:hAnsi="Courier New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120" w:line="360" w:lineRule="auto"/>
      <w:jc w:val="both"/>
    </w:pPr>
    <w:rPr>
      <w:rFonts w:ascii="Courier New" w:cs="Courier New" w:eastAsia="Courier New" w:hAnsi="Courier New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20" w:before="120" w:line="360" w:lineRule="auto"/>
      <w:jc w:val="both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120" w:before="120" w:line="360" w:lineRule="auto"/>
      <w:jc w:val="both"/>
    </w:pPr>
    <w:rPr>
      <w:rFonts w:ascii="Arial" w:cs="Arial" w:eastAsia="Arial" w:hAnsi="Arial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  <w:jc w:val="center"/>
    </w:pPr>
    <w:rPr>
      <w:rFonts w:ascii="Trebuchet MS" w:cs="Trebuchet MS" w:eastAsia="Trebuchet MS" w:hAnsi="Trebuchet MS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  <w:jc w:val="center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7.png"/><Relationship Id="rId22" Type="http://schemas.openxmlformats.org/officeDocument/2006/relationships/image" Target="media/image14.png"/><Relationship Id="rId10" Type="http://schemas.openxmlformats.org/officeDocument/2006/relationships/image" Target="media/image13.png"/><Relationship Id="rId21" Type="http://schemas.openxmlformats.org/officeDocument/2006/relationships/image" Target="media/image1.png"/><Relationship Id="rId13" Type="http://schemas.openxmlformats.org/officeDocument/2006/relationships/image" Target="media/image17.png"/><Relationship Id="rId12" Type="http://schemas.openxmlformats.org/officeDocument/2006/relationships/image" Target="media/image16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2.png"/><Relationship Id="rId14" Type="http://schemas.openxmlformats.org/officeDocument/2006/relationships/image" Target="media/image12.png"/><Relationship Id="rId17" Type="http://schemas.openxmlformats.org/officeDocument/2006/relationships/image" Target="media/image15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3.png"/><Relationship Id="rId18" Type="http://schemas.openxmlformats.org/officeDocument/2006/relationships/image" Target="media/image11.png"/><Relationship Id="rId7" Type="http://schemas.openxmlformats.org/officeDocument/2006/relationships/image" Target="media/image18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HelveticaNeueLight-regular.ttf"/><Relationship Id="rId6" Type="http://schemas.openxmlformats.org/officeDocument/2006/relationships/font" Target="fonts/HelveticaNeueLight-bold.ttf"/><Relationship Id="rId7" Type="http://schemas.openxmlformats.org/officeDocument/2006/relationships/font" Target="fonts/HelveticaNeueLight-italic.ttf"/><Relationship Id="rId8" Type="http://schemas.openxmlformats.org/officeDocument/2006/relationships/font" Target="fonts/HelveticaNeue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